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FDE46" w14:textId="77777777" w:rsidR="00EC0F4D" w:rsidRDefault="00EC0F4D" w:rsidP="00EC0F4D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83ABD">
        <w:rPr>
          <w:noProof/>
          <w:lang w:eastAsia="es-UY"/>
        </w:rPr>
        <w:drawing>
          <wp:anchor distT="0" distB="0" distL="114300" distR="114300" simplePos="0" relativeHeight="251658240" behindDoc="0" locked="0" layoutInCell="1" allowOverlap="1" wp14:anchorId="74CDAE6E" wp14:editId="16AEF4C3">
            <wp:simplePos x="0" y="0"/>
            <wp:positionH relativeFrom="margin">
              <wp:align>right</wp:align>
            </wp:positionH>
            <wp:positionV relativeFrom="margin">
              <wp:posOffset>100965</wp:posOffset>
            </wp:positionV>
            <wp:extent cx="2301240" cy="542925"/>
            <wp:effectExtent l="0" t="0" r="3810" b="9525"/>
            <wp:wrapSquare wrapText="bothSides"/>
            <wp:docPr id="1" name="Imagen 1" descr="cid:image003.png@01CF693C.BAE35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CF693C.BAE35A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0EF014" w14:textId="77777777" w:rsidR="00EC0F4D" w:rsidRDefault="00EC0F4D">
      <w:pPr>
        <w:rPr>
          <w:rFonts w:ascii="Arial" w:hAnsi="Arial" w:cs="Arial"/>
          <w:sz w:val="20"/>
          <w:szCs w:val="20"/>
        </w:rPr>
      </w:pPr>
    </w:p>
    <w:p w14:paraId="5F23FA41" w14:textId="77777777" w:rsidR="004254A3" w:rsidRDefault="004254A3" w:rsidP="004254A3">
      <w:pPr>
        <w:rPr>
          <w:rFonts w:cstheme="minorHAnsi"/>
          <w:b/>
          <w:sz w:val="24"/>
          <w:szCs w:val="20"/>
        </w:rPr>
      </w:pPr>
    </w:p>
    <w:p w14:paraId="721D287F" w14:textId="4A9A0E7B" w:rsidR="00006AAF" w:rsidRDefault="00EC0F4D" w:rsidP="00EC0F4D">
      <w:pPr>
        <w:jc w:val="center"/>
        <w:rPr>
          <w:rFonts w:cstheme="minorHAnsi"/>
          <w:b/>
          <w:sz w:val="28"/>
        </w:rPr>
      </w:pPr>
      <w:r w:rsidRPr="004254A3">
        <w:rPr>
          <w:rFonts w:cstheme="minorHAnsi"/>
          <w:b/>
          <w:sz w:val="28"/>
        </w:rPr>
        <w:t>Carta abierta a pediatras y opinión pública</w:t>
      </w:r>
    </w:p>
    <w:p w14:paraId="132A5AEE" w14:textId="77777777" w:rsidR="004254A3" w:rsidRPr="004254A3" w:rsidRDefault="004254A3" w:rsidP="00EC0F4D">
      <w:pPr>
        <w:jc w:val="center"/>
        <w:rPr>
          <w:rFonts w:cstheme="minorHAnsi"/>
          <w:b/>
          <w:sz w:val="28"/>
        </w:rPr>
      </w:pPr>
    </w:p>
    <w:p w14:paraId="63A78C4B" w14:textId="3D58C1FD" w:rsidR="00981317" w:rsidRPr="0048359C" w:rsidRDefault="0048359C" w:rsidP="00FD6578">
      <w:pPr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El Comité de N</w:t>
      </w:r>
      <w:r w:rsidR="00EC0F4D" w:rsidRPr="0048359C">
        <w:rPr>
          <w:rFonts w:cstheme="minorHAnsi"/>
          <w:sz w:val="24"/>
          <w:szCs w:val="20"/>
        </w:rPr>
        <w:t xml:space="preserve">utrición de la Sociedad Uruguaya de Pediatría expresa su profunda preocupación ante los cambios en el etiquetado frontal que fueron promulgados por el </w:t>
      </w:r>
      <w:r w:rsidR="004254A3">
        <w:rPr>
          <w:rFonts w:cstheme="minorHAnsi"/>
          <w:sz w:val="24"/>
          <w:szCs w:val="20"/>
        </w:rPr>
        <w:t>D</w:t>
      </w:r>
      <w:r w:rsidR="00EC0F4D" w:rsidRPr="0048359C">
        <w:rPr>
          <w:rFonts w:cstheme="minorHAnsi"/>
          <w:sz w:val="24"/>
          <w:szCs w:val="20"/>
        </w:rPr>
        <w:t xml:space="preserve">ecreto 246/21, del 26 de enero del 2021, por parte del </w:t>
      </w:r>
      <w:r w:rsidR="004254A3">
        <w:rPr>
          <w:rFonts w:cstheme="minorHAnsi"/>
          <w:sz w:val="24"/>
          <w:szCs w:val="20"/>
        </w:rPr>
        <w:t>P</w:t>
      </w:r>
      <w:r w:rsidR="00EC0F4D" w:rsidRPr="0048359C">
        <w:rPr>
          <w:rFonts w:cstheme="minorHAnsi"/>
          <w:sz w:val="24"/>
          <w:szCs w:val="20"/>
        </w:rPr>
        <w:t xml:space="preserve">oder </w:t>
      </w:r>
      <w:r w:rsidR="004254A3">
        <w:rPr>
          <w:rFonts w:cstheme="minorHAnsi"/>
          <w:sz w:val="24"/>
          <w:szCs w:val="20"/>
        </w:rPr>
        <w:t>E</w:t>
      </w:r>
      <w:r w:rsidR="00EC0F4D" w:rsidRPr="0048359C">
        <w:rPr>
          <w:rFonts w:cstheme="minorHAnsi"/>
          <w:sz w:val="24"/>
          <w:szCs w:val="20"/>
        </w:rPr>
        <w:t xml:space="preserve">jecutivo. </w:t>
      </w:r>
    </w:p>
    <w:p w14:paraId="2DBDF256" w14:textId="3DFD077B" w:rsidR="00AC2D6E" w:rsidRPr="0048359C" w:rsidRDefault="00EC0F4D" w:rsidP="00FD6578">
      <w:pPr>
        <w:jc w:val="both"/>
        <w:rPr>
          <w:rFonts w:cstheme="minorHAnsi"/>
          <w:sz w:val="24"/>
          <w:szCs w:val="20"/>
        </w:rPr>
      </w:pPr>
      <w:r w:rsidRPr="0048359C">
        <w:rPr>
          <w:rFonts w:cstheme="minorHAnsi"/>
          <w:sz w:val="24"/>
          <w:szCs w:val="20"/>
        </w:rPr>
        <w:t>Las modificaciones determinan una flexibilización de los valores l</w:t>
      </w:r>
      <w:r w:rsidR="004254A3">
        <w:rPr>
          <w:rFonts w:cstheme="minorHAnsi"/>
          <w:sz w:val="24"/>
          <w:szCs w:val="20"/>
        </w:rPr>
        <w:t>í</w:t>
      </w:r>
      <w:r w:rsidRPr="0048359C">
        <w:rPr>
          <w:rFonts w:cstheme="minorHAnsi"/>
          <w:sz w:val="24"/>
          <w:szCs w:val="20"/>
        </w:rPr>
        <w:t>mites en la concentración de sal, azúcar y grasa de productos de uso habitual en la alimentación infantil</w:t>
      </w:r>
      <w:r w:rsidR="004254A3">
        <w:rPr>
          <w:rFonts w:cstheme="minorHAnsi"/>
          <w:sz w:val="24"/>
          <w:szCs w:val="20"/>
        </w:rPr>
        <w:t>, tales</w:t>
      </w:r>
      <w:r w:rsidRPr="0048359C">
        <w:rPr>
          <w:rFonts w:cstheme="minorHAnsi"/>
          <w:sz w:val="24"/>
          <w:szCs w:val="20"/>
        </w:rPr>
        <w:t xml:space="preserve"> como los yogures, postres y jugos. Aumentan 20% del sodio, de 400 a 500 </w:t>
      </w:r>
      <w:proofErr w:type="spellStart"/>
      <w:r w:rsidRPr="0048359C">
        <w:rPr>
          <w:rFonts w:cstheme="minorHAnsi"/>
          <w:sz w:val="24"/>
          <w:szCs w:val="20"/>
        </w:rPr>
        <w:t>mgrs</w:t>
      </w:r>
      <w:proofErr w:type="spellEnd"/>
      <w:r w:rsidRPr="0048359C">
        <w:rPr>
          <w:rFonts w:cstheme="minorHAnsi"/>
          <w:sz w:val="24"/>
          <w:szCs w:val="20"/>
        </w:rPr>
        <w:t xml:space="preserve"> por cada 100 </w:t>
      </w:r>
      <w:proofErr w:type="spellStart"/>
      <w:r w:rsidRPr="0048359C">
        <w:rPr>
          <w:rFonts w:cstheme="minorHAnsi"/>
          <w:sz w:val="24"/>
          <w:szCs w:val="20"/>
        </w:rPr>
        <w:t>grs</w:t>
      </w:r>
      <w:proofErr w:type="spellEnd"/>
      <w:r w:rsidRPr="0048359C">
        <w:rPr>
          <w:rFonts w:cstheme="minorHAnsi"/>
          <w:sz w:val="24"/>
          <w:szCs w:val="20"/>
        </w:rPr>
        <w:t xml:space="preserve"> de alimentos sólidos, 30% de az</w:t>
      </w:r>
      <w:r w:rsidR="004254A3">
        <w:rPr>
          <w:rFonts w:cstheme="minorHAnsi"/>
          <w:sz w:val="24"/>
          <w:szCs w:val="20"/>
        </w:rPr>
        <w:t>ú</w:t>
      </w:r>
      <w:r w:rsidRPr="0048359C">
        <w:rPr>
          <w:rFonts w:cstheme="minorHAnsi"/>
          <w:sz w:val="24"/>
          <w:szCs w:val="20"/>
        </w:rPr>
        <w:t xml:space="preserve">cares, de 10 a 13 </w:t>
      </w:r>
      <w:proofErr w:type="spellStart"/>
      <w:r w:rsidRPr="0048359C">
        <w:rPr>
          <w:rFonts w:cstheme="minorHAnsi"/>
          <w:sz w:val="24"/>
          <w:szCs w:val="20"/>
        </w:rPr>
        <w:t>grs</w:t>
      </w:r>
      <w:proofErr w:type="spellEnd"/>
      <w:r w:rsidRPr="0048359C">
        <w:rPr>
          <w:rFonts w:cstheme="minorHAnsi"/>
          <w:sz w:val="24"/>
          <w:szCs w:val="20"/>
        </w:rPr>
        <w:t xml:space="preserve"> por cada 100 </w:t>
      </w:r>
      <w:proofErr w:type="spellStart"/>
      <w:r w:rsidRPr="0048359C">
        <w:rPr>
          <w:rFonts w:cstheme="minorHAnsi"/>
          <w:sz w:val="24"/>
          <w:szCs w:val="20"/>
        </w:rPr>
        <w:t>grs</w:t>
      </w:r>
      <w:proofErr w:type="spellEnd"/>
      <w:r w:rsidRPr="0048359C">
        <w:rPr>
          <w:rFonts w:cstheme="minorHAnsi"/>
          <w:sz w:val="24"/>
          <w:szCs w:val="20"/>
        </w:rPr>
        <w:t xml:space="preserve"> de alimentos sólidos, 45% de grasas totales, de 9 a 13 </w:t>
      </w:r>
      <w:proofErr w:type="spellStart"/>
      <w:r w:rsidRPr="0048359C">
        <w:rPr>
          <w:rFonts w:cstheme="minorHAnsi"/>
          <w:sz w:val="24"/>
          <w:szCs w:val="20"/>
        </w:rPr>
        <w:t>grs</w:t>
      </w:r>
      <w:proofErr w:type="spellEnd"/>
      <w:r w:rsidRPr="0048359C">
        <w:rPr>
          <w:rFonts w:cstheme="minorHAnsi"/>
          <w:sz w:val="24"/>
          <w:szCs w:val="20"/>
        </w:rPr>
        <w:t xml:space="preserve"> por cada 100 </w:t>
      </w:r>
      <w:proofErr w:type="spellStart"/>
      <w:r w:rsidRPr="0048359C">
        <w:rPr>
          <w:rFonts w:cstheme="minorHAnsi"/>
          <w:sz w:val="24"/>
          <w:szCs w:val="20"/>
        </w:rPr>
        <w:t>grs</w:t>
      </w:r>
      <w:proofErr w:type="spellEnd"/>
      <w:r w:rsidRPr="0048359C">
        <w:rPr>
          <w:rFonts w:cstheme="minorHAnsi"/>
          <w:sz w:val="24"/>
          <w:szCs w:val="20"/>
        </w:rPr>
        <w:t xml:space="preserve"> de alimentos sólidos, 50% de grasa saturada</w:t>
      </w:r>
      <w:r w:rsidR="004254A3">
        <w:rPr>
          <w:rFonts w:cstheme="minorHAnsi"/>
          <w:sz w:val="24"/>
          <w:szCs w:val="20"/>
        </w:rPr>
        <w:t xml:space="preserve"> y</w:t>
      </w:r>
      <w:r w:rsidRPr="0048359C">
        <w:rPr>
          <w:rFonts w:cstheme="minorHAnsi"/>
          <w:sz w:val="24"/>
          <w:szCs w:val="20"/>
        </w:rPr>
        <w:t xml:space="preserve"> de 4 a 6 </w:t>
      </w:r>
      <w:proofErr w:type="spellStart"/>
      <w:r w:rsidRPr="0048359C">
        <w:rPr>
          <w:rFonts w:cstheme="minorHAnsi"/>
          <w:sz w:val="24"/>
          <w:szCs w:val="20"/>
        </w:rPr>
        <w:t>grs</w:t>
      </w:r>
      <w:proofErr w:type="spellEnd"/>
      <w:r w:rsidRPr="0048359C">
        <w:rPr>
          <w:rFonts w:cstheme="minorHAnsi"/>
          <w:sz w:val="24"/>
          <w:szCs w:val="20"/>
        </w:rPr>
        <w:t xml:space="preserve"> por cada 100 </w:t>
      </w:r>
      <w:proofErr w:type="spellStart"/>
      <w:r w:rsidRPr="0048359C">
        <w:rPr>
          <w:rFonts w:cstheme="minorHAnsi"/>
          <w:sz w:val="24"/>
          <w:szCs w:val="20"/>
        </w:rPr>
        <w:t>grs</w:t>
      </w:r>
      <w:proofErr w:type="spellEnd"/>
      <w:r w:rsidRPr="0048359C">
        <w:rPr>
          <w:rFonts w:cstheme="minorHAnsi"/>
          <w:sz w:val="24"/>
          <w:szCs w:val="20"/>
        </w:rPr>
        <w:t xml:space="preserve"> de alimentos sólidos. En alimentos líquidos</w:t>
      </w:r>
      <w:r w:rsidR="004254A3">
        <w:rPr>
          <w:rFonts w:cstheme="minorHAnsi"/>
          <w:sz w:val="24"/>
          <w:szCs w:val="20"/>
        </w:rPr>
        <w:t>, además,</w:t>
      </w:r>
      <w:r w:rsidRPr="0048359C">
        <w:rPr>
          <w:rFonts w:cstheme="minorHAnsi"/>
          <w:sz w:val="24"/>
          <w:szCs w:val="20"/>
        </w:rPr>
        <w:t xml:space="preserve"> no se cuentan los az</w:t>
      </w:r>
      <w:r w:rsidR="004254A3">
        <w:rPr>
          <w:rFonts w:cstheme="minorHAnsi"/>
          <w:sz w:val="24"/>
          <w:szCs w:val="20"/>
        </w:rPr>
        <w:t>ú</w:t>
      </w:r>
      <w:r w:rsidRPr="0048359C">
        <w:rPr>
          <w:rFonts w:cstheme="minorHAnsi"/>
          <w:sz w:val="24"/>
          <w:szCs w:val="20"/>
        </w:rPr>
        <w:t>cares naturales, como la lactosa y la fructosa, que contiene el alimento previo a su procesamiento.</w:t>
      </w:r>
    </w:p>
    <w:p w14:paraId="6B06A5F4" w14:textId="77777777" w:rsidR="00981317" w:rsidRPr="0048359C" w:rsidRDefault="00EC0F4D" w:rsidP="00FD6578">
      <w:pPr>
        <w:jc w:val="both"/>
        <w:rPr>
          <w:rFonts w:cstheme="minorHAnsi"/>
          <w:sz w:val="24"/>
          <w:szCs w:val="20"/>
        </w:rPr>
      </w:pPr>
      <w:r w:rsidRPr="0048359C">
        <w:rPr>
          <w:rFonts w:cstheme="minorHAnsi"/>
          <w:sz w:val="24"/>
          <w:szCs w:val="20"/>
        </w:rPr>
        <w:t>Estos cambios inducen a error a las familias, quienes al no encontrar advertencias en el etiquetado de estos productos, suponen que están alimentando a sus hijos con preparaciones saludables.</w:t>
      </w:r>
    </w:p>
    <w:p w14:paraId="7919843D" w14:textId="4211C385" w:rsidR="009B7975" w:rsidRPr="0048359C" w:rsidRDefault="004254A3" w:rsidP="00FD6578">
      <w:pPr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En ese marco, e</w:t>
      </w:r>
      <w:r w:rsidR="0048359C">
        <w:rPr>
          <w:rFonts w:cstheme="minorHAnsi"/>
          <w:sz w:val="24"/>
          <w:szCs w:val="20"/>
        </w:rPr>
        <w:t>l C</w:t>
      </w:r>
      <w:r w:rsidR="00EC0F4D" w:rsidRPr="0048359C">
        <w:rPr>
          <w:rFonts w:cstheme="minorHAnsi"/>
          <w:sz w:val="24"/>
          <w:szCs w:val="20"/>
        </w:rPr>
        <w:t xml:space="preserve">omité de </w:t>
      </w:r>
      <w:r w:rsidR="0048359C">
        <w:rPr>
          <w:rFonts w:cstheme="minorHAnsi"/>
          <w:sz w:val="24"/>
          <w:szCs w:val="20"/>
        </w:rPr>
        <w:t>Nutrición de la Sociedad U</w:t>
      </w:r>
      <w:r w:rsidR="00EC0F4D" w:rsidRPr="0048359C">
        <w:rPr>
          <w:rFonts w:cstheme="minorHAnsi"/>
          <w:sz w:val="24"/>
          <w:szCs w:val="20"/>
        </w:rPr>
        <w:t xml:space="preserve">ruguaya de </w:t>
      </w:r>
      <w:r w:rsidR="0048359C">
        <w:rPr>
          <w:rFonts w:cstheme="minorHAnsi"/>
          <w:sz w:val="24"/>
          <w:szCs w:val="20"/>
        </w:rPr>
        <w:t>P</w:t>
      </w:r>
      <w:r w:rsidR="00EC0F4D" w:rsidRPr="0048359C">
        <w:rPr>
          <w:rFonts w:cstheme="minorHAnsi"/>
          <w:sz w:val="24"/>
          <w:szCs w:val="20"/>
        </w:rPr>
        <w:t>ediatría solicita</w:t>
      </w:r>
      <w:r>
        <w:rPr>
          <w:rFonts w:cstheme="minorHAnsi"/>
          <w:sz w:val="24"/>
          <w:szCs w:val="20"/>
        </w:rPr>
        <w:t>,</w:t>
      </w:r>
      <w:r w:rsidR="00EC0F4D" w:rsidRPr="0048359C">
        <w:rPr>
          <w:rFonts w:cstheme="minorHAnsi"/>
          <w:sz w:val="24"/>
          <w:szCs w:val="20"/>
        </w:rPr>
        <w:t xml:space="preserve"> al igual que otras sociedades científicas</w:t>
      </w:r>
      <w:r>
        <w:rPr>
          <w:rFonts w:cstheme="minorHAnsi"/>
          <w:sz w:val="24"/>
          <w:szCs w:val="20"/>
        </w:rPr>
        <w:t>,</w:t>
      </w:r>
      <w:r w:rsidR="00EC0F4D" w:rsidRPr="0048359C">
        <w:rPr>
          <w:rFonts w:cstheme="minorHAnsi"/>
          <w:sz w:val="24"/>
          <w:szCs w:val="20"/>
        </w:rPr>
        <w:t xml:space="preserve"> rever las modificaciones al etiquetado nutricional por la autoridad </w:t>
      </w:r>
      <w:r w:rsidR="0048359C">
        <w:rPr>
          <w:rFonts w:cstheme="minorHAnsi"/>
          <w:sz w:val="24"/>
          <w:szCs w:val="20"/>
        </w:rPr>
        <w:t>reguladora en salud, que es el M</w:t>
      </w:r>
      <w:r w:rsidR="00EC0F4D" w:rsidRPr="0048359C">
        <w:rPr>
          <w:rFonts w:cstheme="minorHAnsi"/>
          <w:sz w:val="24"/>
          <w:szCs w:val="20"/>
        </w:rPr>
        <w:t xml:space="preserve">inisterio de </w:t>
      </w:r>
      <w:r w:rsidR="0048359C">
        <w:rPr>
          <w:rFonts w:cstheme="minorHAnsi"/>
          <w:sz w:val="24"/>
          <w:szCs w:val="20"/>
        </w:rPr>
        <w:t>S</w:t>
      </w:r>
      <w:r w:rsidR="00EC0F4D" w:rsidRPr="0048359C">
        <w:rPr>
          <w:rFonts w:cstheme="minorHAnsi"/>
          <w:sz w:val="24"/>
          <w:szCs w:val="20"/>
        </w:rPr>
        <w:t xml:space="preserve">alud </w:t>
      </w:r>
      <w:r w:rsidR="0048359C">
        <w:rPr>
          <w:rFonts w:cstheme="minorHAnsi"/>
          <w:sz w:val="24"/>
          <w:szCs w:val="20"/>
        </w:rPr>
        <w:t>P</w:t>
      </w:r>
      <w:r w:rsidR="00EC0F4D" w:rsidRPr="0048359C">
        <w:rPr>
          <w:rFonts w:cstheme="minorHAnsi"/>
          <w:sz w:val="24"/>
          <w:szCs w:val="20"/>
        </w:rPr>
        <w:t>ública.</w:t>
      </w:r>
    </w:p>
    <w:p w14:paraId="62F30913" w14:textId="77777777" w:rsidR="0048359C" w:rsidRDefault="0048359C" w:rsidP="00FD6578">
      <w:pPr>
        <w:jc w:val="both"/>
        <w:rPr>
          <w:rFonts w:ascii="Arial" w:hAnsi="Arial" w:cs="Arial"/>
          <w:b/>
          <w:sz w:val="20"/>
          <w:szCs w:val="20"/>
        </w:rPr>
      </w:pPr>
    </w:p>
    <w:p w14:paraId="20B013EB" w14:textId="77777777" w:rsidR="00FD6578" w:rsidRPr="004254A3" w:rsidRDefault="00EC0F4D" w:rsidP="004254A3">
      <w:pPr>
        <w:jc w:val="center"/>
        <w:rPr>
          <w:rFonts w:ascii="Arial" w:hAnsi="Arial" w:cs="Arial"/>
          <w:b/>
          <w:sz w:val="24"/>
          <w:szCs w:val="24"/>
        </w:rPr>
      </w:pPr>
      <w:r w:rsidRPr="004254A3">
        <w:rPr>
          <w:rFonts w:ascii="Arial" w:hAnsi="Arial" w:cs="Arial"/>
          <w:b/>
          <w:sz w:val="24"/>
          <w:szCs w:val="24"/>
        </w:rPr>
        <w:t>Tabla comparativa de los cambios realizados en el decreto del rotulado frontal de alimentos</w:t>
      </w:r>
    </w:p>
    <w:tbl>
      <w:tblPr>
        <w:tblStyle w:val="Tablaconcuadrcula"/>
        <w:tblW w:w="8213" w:type="dxa"/>
        <w:tblInd w:w="-5" w:type="dxa"/>
        <w:tblLook w:val="04A0" w:firstRow="1" w:lastRow="0" w:firstColumn="1" w:lastColumn="0" w:noHBand="0" w:noVBand="1"/>
      </w:tblPr>
      <w:tblGrid>
        <w:gridCol w:w="1525"/>
        <w:gridCol w:w="1643"/>
        <w:gridCol w:w="1642"/>
        <w:gridCol w:w="1525"/>
        <w:gridCol w:w="1878"/>
      </w:tblGrid>
      <w:tr w:rsidR="00FD6578" w:rsidRPr="00FD6578" w14:paraId="7FA7558E" w14:textId="77777777" w:rsidTr="00FD6578">
        <w:trPr>
          <w:trHeight w:val="225"/>
        </w:trPr>
        <w:tc>
          <w:tcPr>
            <w:tcW w:w="1525" w:type="dxa"/>
          </w:tcPr>
          <w:p w14:paraId="1DF8D512" w14:textId="77777777" w:rsidR="00FD6578" w:rsidRPr="00FD6578" w:rsidRDefault="00FD6578" w:rsidP="00FD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5" w:type="dxa"/>
            <w:gridSpan w:val="2"/>
          </w:tcPr>
          <w:p w14:paraId="6E12DDF1" w14:textId="77777777" w:rsidR="00FD6578" w:rsidRPr="00FD6578" w:rsidRDefault="00EC0F4D" w:rsidP="00FD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578">
              <w:rPr>
                <w:rFonts w:ascii="Arial" w:hAnsi="Arial" w:cs="Arial"/>
                <w:sz w:val="20"/>
                <w:szCs w:val="20"/>
              </w:rPr>
              <w:t>alimentos sólidos en 100  mg</w:t>
            </w:r>
          </w:p>
        </w:tc>
        <w:tc>
          <w:tcPr>
            <w:tcW w:w="3403" w:type="dxa"/>
            <w:gridSpan w:val="2"/>
          </w:tcPr>
          <w:p w14:paraId="64D94E8D" w14:textId="77777777" w:rsidR="00FD6578" w:rsidRPr="00FD6578" w:rsidRDefault="00EC0F4D" w:rsidP="00FD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578">
              <w:rPr>
                <w:rFonts w:ascii="Arial" w:hAnsi="Arial" w:cs="Arial"/>
                <w:sz w:val="20"/>
                <w:szCs w:val="20"/>
              </w:rPr>
              <w:t>alimentos líquidos en 100 ml</w:t>
            </w:r>
          </w:p>
        </w:tc>
      </w:tr>
      <w:tr w:rsidR="00FD6578" w:rsidRPr="00FD6578" w14:paraId="7C78625C" w14:textId="77777777" w:rsidTr="00FD6578">
        <w:trPr>
          <w:trHeight w:val="439"/>
        </w:trPr>
        <w:tc>
          <w:tcPr>
            <w:tcW w:w="1525" w:type="dxa"/>
          </w:tcPr>
          <w:p w14:paraId="518A1CB9" w14:textId="77777777" w:rsidR="00FD6578" w:rsidRPr="00FD6578" w:rsidRDefault="00EC0F4D" w:rsidP="00FD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578">
              <w:rPr>
                <w:rFonts w:ascii="Arial" w:hAnsi="Arial" w:cs="Arial"/>
                <w:sz w:val="20"/>
                <w:szCs w:val="20"/>
              </w:rPr>
              <w:t>nutriente</w:t>
            </w:r>
          </w:p>
        </w:tc>
        <w:tc>
          <w:tcPr>
            <w:tcW w:w="1643" w:type="dxa"/>
          </w:tcPr>
          <w:p w14:paraId="3A7CD407" w14:textId="77777777" w:rsidR="00FD6578" w:rsidRPr="00FD6578" w:rsidRDefault="00EC0F4D" w:rsidP="00FD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578">
              <w:rPr>
                <w:rFonts w:ascii="Arial" w:hAnsi="Arial" w:cs="Arial"/>
                <w:sz w:val="20"/>
                <w:szCs w:val="20"/>
              </w:rPr>
              <w:t>decreto 2/9/2020</w:t>
            </w:r>
          </w:p>
          <w:p w14:paraId="61DEDCD1" w14:textId="77777777" w:rsidR="00FD6578" w:rsidRPr="00FD6578" w:rsidRDefault="00EC0F4D" w:rsidP="00FD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6578">
              <w:rPr>
                <w:rFonts w:ascii="Arial" w:hAnsi="Arial" w:cs="Arial"/>
                <w:sz w:val="20"/>
                <w:szCs w:val="20"/>
              </w:rPr>
              <w:t>nª</w:t>
            </w:r>
            <w:proofErr w:type="spellEnd"/>
            <w:r w:rsidRPr="00FD6578">
              <w:rPr>
                <w:rFonts w:ascii="Arial" w:hAnsi="Arial" w:cs="Arial"/>
                <w:sz w:val="20"/>
                <w:szCs w:val="20"/>
              </w:rPr>
              <w:t xml:space="preserve"> 272/018</w:t>
            </w:r>
          </w:p>
        </w:tc>
        <w:tc>
          <w:tcPr>
            <w:tcW w:w="1642" w:type="dxa"/>
          </w:tcPr>
          <w:p w14:paraId="3DCA3AAF" w14:textId="77777777" w:rsidR="00FD6578" w:rsidRPr="00FD6578" w:rsidRDefault="00EC0F4D" w:rsidP="00FD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578">
              <w:rPr>
                <w:rFonts w:ascii="Arial" w:hAnsi="Arial" w:cs="Arial"/>
                <w:sz w:val="20"/>
                <w:szCs w:val="20"/>
              </w:rPr>
              <w:t>decreto 26/1/2021</w:t>
            </w:r>
          </w:p>
          <w:p w14:paraId="123A0F9D" w14:textId="77777777" w:rsidR="00FD6578" w:rsidRPr="00FD6578" w:rsidRDefault="00EC0F4D" w:rsidP="00FD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6578">
              <w:rPr>
                <w:rFonts w:ascii="Arial" w:hAnsi="Arial" w:cs="Arial"/>
                <w:sz w:val="20"/>
                <w:szCs w:val="20"/>
              </w:rPr>
              <w:t>nª</w:t>
            </w:r>
            <w:proofErr w:type="spellEnd"/>
            <w:r w:rsidRPr="00FD6578">
              <w:rPr>
                <w:rFonts w:ascii="Arial" w:hAnsi="Arial" w:cs="Arial"/>
                <w:sz w:val="20"/>
                <w:szCs w:val="20"/>
              </w:rPr>
              <w:t xml:space="preserve"> 246/021</w:t>
            </w:r>
          </w:p>
        </w:tc>
        <w:tc>
          <w:tcPr>
            <w:tcW w:w="1525" w:type="dxa"/>
          </w:tcPr>
          <w:p w14:paraId="5875AAD0" w14:textId="77777777" w:rsidR="00FD6578" w:rsidRPr="00FD6578" w:rsidRDefault="00EC0F4D" w:rsidP="00FD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578">
              <w:rPr>
                <w:rFonts w:ascii="Arial" w:hAnsi="Arial" w:cs="Arial"/>
                <w:sz w:val="20"/>
                <w:szCs w:val="20"/>
              </w:rPr>
              <w:t>decreto 2/9/2020</w:t>
            </w:r>
          </w:p>
          <w:p w14:paraId="3526D0EB" w14:textId="77777777" w:rsidR="00FD6578" w:rsidRPr="00FD6578" w:rsidRDefault="00EC0F4D" w:rsidP="00FD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6578">
              <w:rPr>
                <w:rFonts w:ascii="Arial" w:hAnsi="Arial" w:cs="Arial"/>
                <w:sz w:val="20"/>
                <w:szCs w:val="20"/>
              </w:rPr>
              <w:t>nª</w:t>
            </w:r>
            <w:proofErr w:type="spellEnd"/>
            <w:r w:rsidRPr="00FD6578">
              <w:rPr>
                <w:rFonts w:ascii="Arial" w:hAnsi="Arial" w:cs="Arial"/>
                <w:sz w:val="20"/>
                <w:szCs w:val="20"/>
              </w:rPr>
              <w:t xml:space="preserve"> 272/018</w:t>
            </w:r>
          </w:p>
        </w:tc>
        <w:tc>
          <w:tcPr>
            <w:tcW w:w="1877" w:type="dxa"/>
          </w:tcPr>
          <w:p w14:paraId="2D299BAB" w14:textId="77777777" w:rsidR="00FD6578" w:rsidRPr="00FD6578" w:rsidRDefault="00EC0F4D" w:rsidP="00FD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578">
              <w:rPr>
                <w:rFonts w:ascii="Arial" w:hAnsi="Arial" w:cs="Arial"/>
                <w:sz w:val="20"/>
                <w:szCs w:val="20"/>
              </w:rPr>
              <w:t>decreto 26/1/2021</w:t>
            </w:r>
          </w:p>
          <w:p w14:paraId="3045AFDC" w14:textId="77777777" w:rsidR="00FD6578" w:rsidRPr="00FD6578" w:rsidRDefault="00EC0F4D" w:rsidP="00FD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6578">
              <w:rPr>
                <w:rFonts w:ascii="Arial" w:hAnsi="Arial" w:cs="Arial"/>
                <w:sz w:val="20"/>
                <w:szCs w:val="20"/>
              </w:rPr>
              <w:t>nª</w:t>
            </w:r>
            <w:proofErr w:type="spellEnd"/>
            <w:r w:rsidRPr="00FD6578">
              <w:rPr>
                <w:rFonts w:ascii="Arial" w:hAnsi="Arial" w:cs="Arial"/>
                <w:sz w:val="20"/>
                <w:szCs w:val="20"/>
              </w:rPr>
              <w:t xml:space="preserve"> 246/021</w:t>
            </w:r>
          </w:p>
        </w:tc>
      </w:tr>
      <w:tr w:rsidR="00FD6578" w:rsidRPr="00FD6578" w14:paraId="0D6BF916" w14:textId="77777777" w:rsidTr="00FD6578">
        <w:trPr>
          <w:trHeight w:val="225"/>
        </w:trPr>
        <w:tc>
          <w:tcPr>
            <w:tcW w:w="1525" w:type="dxa"/>
          </w:tcPr>
          <w:p w14:paraId="316262A7" w14:textId="77777777" w:rsidR="00FD6578" w:rsidRPr="00FD6578" w:rsidRDefault="00EC0F4D" w:rsidP="00FD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578">
              <w:rPr>
                <w:rFonts w:ascii="Arial" w:hAnsi="Arial" w:cs="Arial"/>
                <w:sz w:val="20"/>
                <w:szCs w:val="20"/>
              </w:rPr>
              <w:t>sodio</w:t>
            </w:r>
          </w:p>
        </w:tc>
        <w:tc>
          <w:tcPr>
            <w:tcW w:w="1643" w:type="dxa"/>
          </w:tcPr>
          <w:p w14:paraId="266F64A1" w14:textId="77777777" w:rsidR="00FD6578" w:rsidRPr="00FD6578" w:rsidRDefault="00EC0F4D" w:rsidP="00FD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578">
              <w:rPr>
                <w:rFonts w:ascii="Arial" w:hAnsi="Arial" w:cs="Arial"/>
                <w:sz w:val="20"/>
                <w:szCs w:val="20"/>
              </w:rPr>
              <w:t>400 mg</w:t>
            </w:r>
          </w:p>
        </w:tc>
        <w:tc>
          <w:tcPr>
            <w:tcW w:w="1642" w:type="dxa"/>
          </w:tcPr>
          <w:p w14:paraId="1A7444AA" w14:textId="77777777" w:rsidR="00FD6578" w:rsidRPr="00FD6578" w:rsidRDefault="00EC0F4D" w:rsidP="00FD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578">
              <w:rPr>
                <w:rFonts w:ascii="Arial" w:hAnsi="Arial" w:cs="Arial"/>
                <w:sz w:val="20"/>
                <w:szCs w:val="20"/>
              </w:rPr>
              <w:t>500 mg</w:t>
            </w:r>
          </w:p>
        </w:tc>
        <w:tc>
          <w:tcPr>
            <w:tcW w:w="1525" w:type="dxa"/>
          </w:tcPr>
          <w:p w14:paraId="797AEEDE" w14:textId="77777777" w:rsidR="00FD6578" w:rsidRPr="00FD6578" w:rsidRDefault="00EC0F4D" w:rsidP="00FD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578">
              <w:rPr>
                <w:rFonts w:ascii="Arial" w:hAnsi="Arial" w:cs="Arial"/>
                <w:sz w:val="20"/>
                <w:szCs w:val="20"/>
              </w:rPr>
              <w:t>200 mg</w:t>
            </w:r>
          </w:p>
        </w:tc>
        <w:tc>
          <w:tcPr>
            <w:tcW w:w="1877" w:type="dxa"/>
          </w:tcPr>
          <w:p w14:paraId="7C2AB4EE" w14:textId="77777777" w:rsidR="00FD6578" w:rsidRPr="00FD6578" w:rsidRDefault="00EC0F4D" w:rsidP="00FD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578">
              <w:rPr>
                <w:rFonts w:ascii="Arial" w:hAnsi="Arial" w:cs="Arial"/>
                <w:sz w:val="20"/>
                <w:szCs w:val="20"/>
              </w:rPr>
              <w:t>200 mg</w:t>
            </w:r>
          </w:p>
        </w:tc>
      </w:tr>
      <w:tr w:rsidR="00FD6578" w:rsidRPr="00FD6578" w14:paraId="6D1BA9B3" w14:textId="77777777" w:rsidTr="00FD6578">
        <w:trPr>
          <w:trHeight w:val="213"/>
        </w:trPr>
        <w:tc>
          <w:tcPr>
            <w:tcW w:w="1525" w:type="dxa"/>
          </w:tcPr>
          <w:p w14:paraId="023F86C1" w14:textId="4AAEF492" w:rsidR="00FD6578" w:rsidRPr="00FD6578" w:rsidRDefault="00EC0F4D" w:rsidP="00FD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578">
              <w:rPr>
                <w:rFonts w:ascii="Arial" w:hAnsi="Arial" w:cs="Arial"/>
                <w:sz w:val="20"/>
                <w:szCs w:val="20"/>
              </w:rPr>
              <w:t>az</w:t>
            </w:r>
            <w:r w:rsidR="004254A3">
              <w:rPr>
                <w:rFonts w:ascii="Arial" w:hAnsi="Arial" w:cs="Arial"/>
                <w:sz w:val="20"/>
                <w:szCs w:val="20"/>
              </w:rPr>
              <w:t>ú</w:t>
            </w:r>
            <w:r w:rsidRPr="00FD6578">
              <w:rPr>
                <w:rFonts w:ascii="Arial" w:hAnsi="Arial" w:cs="Arial"/>
                <w:sz w:val="20"/>
                <w:szCs w:val="20"/>
              </w:rPr>
              <w:t>cares *</w:t>
            </w:r>
          </w:p>
        </w:tc>
        <w:tc>
          <w:tcPr>
            <w:tcW w:w="1643" w:type="dxa"/>
          </w:tcPr>
          <w:p w14:paraId="5A2151B5" w14:textId="77777777" w:rsidR="00FD6578" w:rsidRPr="00FD6578" w:rsidRDefault="00EC0F4D" w:rsidP="00FD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578">
              <w:rPr>
                <w:rFonts w:ascii="Arial" w:hAnsi="Arial" w:cs="Arial"/>
                <w:sz w:val="20"/>
                <w:szCs w:val="20"/>
              </w:rPr>
              <w:t>10 g*</w:t>
            </w:r>
          </w:p>
        </w:tc>
        <w:tc>
          <w:tcPr>
            <w:tcW w:w="1642" w:type="dxa"/>
          </w:tcPr>
          <w:p w14:paraId="4B48846B" w14:textId="77777777" w:rsidR="00FD6578" w:rsidRPr="00FD6578" w:rsidRDefault="00EC0F4D" w:rsidP="00FD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578">
              <w:rPr>
                <w:rFonts w:ascii="Arial" w:hAnsi="Arial" w:cs="Arial"/>
                <w:sz w:val="20"/>
                <w:szCs w:val="20"/>
              </w:rPr>
              <w:t>13 g</w:t>
            </w:r>
          </w:p>
        </w:tc>
        <w:tc>
          <w:tcPr>
            <w:tcW w:w="1525" w:type="dxa"/>
          </w:tcPr>
          <w:p w14:paraId="380CCA6C" w14:textId="77777777" w:rsidR="00FD6578" w:rsidRPr="00FD6578" w:rsidRDefault="00EC0F4D" w:rsidP="00FD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578">
              <w:rPr>
                <w:rFonts w:ascii="Arial" w:hAnsi="Arial" w:cs="Arial"/>
                <w:sz w:val="20"/>
                <w:szCs w:val="20"/>
              </w:rPr>
              <w:t>3 g **</w:t>
            </w:r>
          </w:p>
        </w:tc>
        <w:tc>
          <w:tcPr>
            <w:tcW w:w="1877" w:type="dxa"/>
          </w:tcPr>
          <w:p w14:paraId="5DBE6AFF" w14:textId="77777777" w:rsidR="00FD6578" w:rsidRPr="00FD6578" w:rsidRDefault="00EC0F4D" w:rsidP="00FD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578">
              <w:rPr>
                <w:rFonts w:ascii="Arial" w:hAnsi="Arial" w:cs="Arial"/>
                <w:sz w:val="20"/>
                <w:szCs w:val="20"/>
              </w:rPr>
              <w:t>3 g**</w:t>
            </w:r>
          </w:p>
        </w:tc>
      </w:tr>
      <w:tr w:rsidR="00FD6578" w:rsidRPr="00FD6578" w14:paraId="170D05EA" w14:textId="77777777" w:rsidTr="00FD6578">
        <w:trPr>
          <w:trHeight w:val="225"/>
        </w:trPr>
        <w:tc>
          <w:tcPr>
            <w:tcW w:w="1525" w:type="dxa"/>
          </w:tcPr>
          <w:p w14:paraId="594A3BE6" w14:textId="77777777" w:rsidR="00FD6578" w:rsidRPr="00FD6578" w:rsidRDefault="00EC0F4D" w:rsidP="00FD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578">
              <w:rPr>
                <w:rFonts w:ascii="Arial" w:hAnsi="Arial" w:cs="Arial"/>
                <w:sz w:val="20"/>
                <w:szCs w:val="20"/>
              </w:rPr>
              <w:t>grasas totales</w:t>
            </w:r>
          </w:p>
        </w:tc>
        <w:tc>
          <w:tcPr>
            <w:tcW w:w="1643" w:type="dxa"/>
          </w:tcPr>
          <w:p w14:paraId="0FE8DAC6" w14:textId="77777777" w:rsidR="00FD6578" w:rsidRPr="00FD6578" w:rsidRDefault="00EC0F4D" w:rsidP="00FD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578">
              <w:rPr>
                <w:rFonts w:ascii="Arial" w:hAnsi="Arial" w:cs="Arial"/>
                <w:sz w:val="20"/>
                <w:szCs w:val="20"/>
              </w:rPr>
              <w:t>9 g</w:t>
            </w:r>
          </w:p>
        </w:tc>
        <w:tc>
          <w:tcPr>
            <w:tcW w:w="1642" w:type="dxa"/>
          </w:tcPr>
          <w:p w14:paraId="731D86D6" w14:textId="77777777" w:rsidR="00FD6578" w:rsidRPr="00FD6578" w:rsidRDefault="00EC0F4D" w:rsidP="00FD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578">
              <w:rPr>
                <w:rFonts w:ascii="Arial" w:hAnsi="Arial" w:cs="Arial"/>
                <w:sz w:val="20"/>
                <w:szCs w:val="20"/>
              </w:rPr>
              <w:t>13 g</w:t>
            </w:r>
          </w:p>
        </w:tc>
        <w:tc>
          <w:tcPr>
            <w:tcW w:w="1525" w:type="dxa"/>
          </w:tcPr>
          <w:p w14:paraId="4ECAC6B0" w14:textId="77777777" w:rsidR="00FD6578" w:rsidRPr="00FD6578" w:rsidRDefault="00EC0F4D" w:rsidP="00FD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578">
              <w:rPr>
                <w:rFonts w:ascii="Arial" w:hAnsi="Arial" w:cs="Arial"/>
                <w:sz w:val="20"/>
                <w:szCs w:val="20"/>
              </w:rPr>
              <w:t>4 g</w:t>
            </w:r>
          </w:p>
        </w:tc>
        <w:tc>
          <w:tcPr>
            <w:tcW w:w="1877" w:type="dxa"/>
          </w:tcPr>
          <w:p w14:paraId="54352D05" w14:textId="77777777" w:rsidR="00FD6578" w:rsidRPr="00FD6578" w:rsidRDefault="00EC0F4D" w:rsidP="00FD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578">
              <w:rPr>
                <w:rFonts w:ascii="Arial" w:hAnsi="Arial" w:cs="Arial"/>
                <w:sz w:val="20"/>
                <w:szCs w:val="20"/>
              </w:rPr>
              <w:t>4 g</w:t>
            </w:r>
          </w:p>
        </w:tc>
      </w:tr>
      <w:tr w:rsidR="00FD6578" w:rsidRPr="00FD6578" w14:paraId="725C2258" w14:textId="77777777" w:rsidTr="00FD6578">
        <w:trPr>
          <w:trHeight w:val="213"/>
        </w:trPr>
        <w:tc>
          <w:tcPr>
            <w:tcW w:w="1525" w:type="dxa"/>
          </w:tcPr>
          <w:p w14:paraId="69A8A777" w14:textId="77777777" w:rsidR="00FD6578" w:rsidRPr="00FD6578" w:rsidRDefault="00EC0F4D" w:rsidP="00FD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578">
              <w:rPr>
                <w:rFonts w:ascii="Arial" w:hAnsi="Arial" w:cs="Arial"/>
                <w:sz w:val="20"/>
                <w:szCs w:val="20"/>
              </w:rPr>
              <w:t>grasas saturadas</w:t>
            </w:r>
          </w:p>
        </w:tc>
        <w:tc>
          <w:tcPr>
            <w:tcW w:w="1643" w:type="dxa"/>
          </w:tcPr>
          <w:p w14:paraId="062D68AF" w14:textId="77777777" w:rsidR="00FD6578" w:rsidRPr="00FD6578" w:rsidRDefault="00EC0F4D" w:rsidP="00FD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578">
              <w:rPr>
                <w:rFonts w:ascii="Arial" w:hAnsi="Arial" w:cs="Arial"/>
                <w:sz w:val="20"/>
                <w:szCs w:val="20"/>
              </w:rPr>
              <w:t>4 g</w:t>
            </w:r>
          </w:p>
        </w:tc>
        <w:tc>
          <w:tcPr>
            <w:tcW w:w="1642" w:type="dxa"/>
          </w:tcPr>
          <w:p w14:paraId="1715BCFF" w14:textId="77777777" w:rsidR="00FD6578" w:rsidRPr="00FD6578" w:rsidRDefault="00EC0F4D" w:rsidP="00FD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578">
              <w:rPr>
                <w:rFonts w:ascii="Arial" w:hAnsi="Arial" w:cs="Arial"/>
                <w:sz w:val="20"/>
                <w:szCs w:val="20"/>
              </w:rPr>
              <w:t>6 g</w:t>
            </w:r>
          </w:p>
        </w:tc>
        <w:tc>
          <w:tcPr>
            <w:tcW w:w="1525" w:type="dxa"/>
          </w:tcPr>
          <w:p w14:paraId="380037B0" w14:textId="77777777" w:rsidR="00FD6578" w:rsidRPr="00FD6578" w:rsidRDefault="00EC0F4D" w:rsidP="00FD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578">
              <w:rPr>
                <w:rFonts w:ascii="Arial" w:hAnsi="Arial" w:cs="Arial"/>
                <w:sz w:val="20"/>
                <w:szCs w:val="20"/>
              </w:rPr>
              <w:t>3 g</w:t>
            </w:r>
          </w:p>
        </w:tc>
        <w:tc>
          <w:tcPr>
            <w:tcW w:w="1877" w:type="dxa"/>
          </w:tcPr>
          <w:p w14:paraId="7B65257D" w14:textId="77777777" w:rsidR="00FD6578" w:rsidRPr="00FD6578" w:rsidRDefault="00EC0F4D" w:rsidP="00FD65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578">
              <w:rPr>
                <w:rFonts w:ascii="Arial" w:hAnsi="Arial" w:cs="Arial"/>
                <w:sz w:val="20"/>
                <w:szCs w:val="20"/>
              </w:rPr>
              <w:t>3 g</w:t>
            </w:r>
          </w:p>
        </w:tc>
      </w:tr>
    </w:tbl>
    <w:p w14:paraId="539E8693" w14:textId="77777777" w:rsidR="00FD6578" w:rsidRPr="00FD6578" w:rsidRDefault="00FD6578" w:rsidP="00FD6578">
      <w:pPr>
        <w:jc w:val="both"/>
        <w:rPr>
          <w:rFonts w:ascii="Arial" w:hAnsi="Arial" w:cs="Arial"/>
          <w:sz w:val="20"/>
          <w:szCs w:val="20"/>
        </w:rPr>
      </w:pPr>
    </w:p>
    <w:p w14:paraId="039D91F1" w14:textId="612C4927" w:rsidR="00FD6578" w:rsidRPr="004254A3" w:rsidRDefault="00EC0F4D" w:rsidP="00FD6578">
      <w:pPr>
        <w:jc w:val="both"/>
        <w:rPr>
          <w:rFonts w:ascii="Calibri" w:hAnsi="Calibri" w:cstheme="minorHAnsi"/>
          <w:sz w:val="24"/>
          <w:szCs w:val="24"/>
        </w:rPr>
      </w:pPr>
      <w:r w:rsidRPr="004254A3">
        <w:rPr>
          <w:rFonts w:ascii="Calibri" w:hAnsi="Calibri" w:cstheme="minorHAnsi"/>
          <w:sz w:val="24"/>
          <w:szCs w:val="24"/>
        </w:rPr>
        <w:t>*12 g/100 mg en productos que cumplan las siguientes condiciones: a) máximo de hasta 80% de las calorías aportadas por az</w:t>
      </w:r>
      <w:r w:rsidR="004254A3" w:rsidRPr="004254A3">
        <w:rPr>
          <w:rFonts w:ascii="Calibri" w:hAnsi="Calibri" w:cstheme="minorHAnsi"/>
          <w:sz w:val="24"/>
          <w:szCs w:val="24"/>
        </w:rPr>
        <w:t>ú</w:t>
      </w:r>
      <w:r w:rsidRPr="004254A3">
        <w:rPr>
          <w:rFonts w:ascii="Calibri" w:hAnsi="Calibri" w:cstheme="minorHAnsi"/>
          <w:sz w:val="24"/>
          <w:szCs w:val="24"/>
        </w:rPr>
        <w:t>cares; b) sin adición de edulcorantes no nutritivos</w:t>
      </w:r>
      <w:r w:rsidR="004254A3" w:rsidRPr="004254A3">
        <w:rPr>
          <w:rFonts w:ascii="Calibri" w:hAnsi="Calibri" w:cstheme="minorHAnsi"/>
          <w:sz w:val="24"/>
          <w:szCs w:val="24"/>
        </w:rPr>
        <w:t>.</w:t>
      </w:r>
    </w:p>
    <w:p w14:paraId="4EF48A8A" w14:textId="799354F1" w:rsidR="00FD6578" w:rsidRPr="004254A3" w:rsidRDefault="00EC0F4D" w:rsidP="00FD6578">
      <w:pPr>
        <w:jc w:val="both"/>
        <w:rPr>
          <w:rFonts w:ascii="Calibri" w:hAnsi="Calibri" w:cstheme="minorHAnsi"/>
          <w:sz w:val="24"/>
          <w:szCs w:val="24"/>
        </w:rPr>
      </w:pPr>
      <w:r w:rsidRPr="004254A3">
        <w:rPr>
          <w:rFonts w:ascii="Calibri" w:hAnsi="Calibri" w:cstheme="minorHAnsi"/>
          <w:sz w:val="24"/>
          <w:szCs w:val="24"/>
        </w:rPr>
        <w:t>**5 g/100 ml en productos sin edulcorantes no nutritivos</w:t>
      </w:r>
      <w:r w:rsidR="004254A3" w:rsidRPr="004254A3">
        <w:rPr>
          <w:rFonts w:ascii="Calibri" w:hAnsi="Calibri" w:cstheme="minorHAnsi"/>
          <w:sz w:val="24"/>
          <w:szCs w:val="24"/>
        </w:rPr>
        <w:t>,</w:t>
      </w:r>
      <w:r w:rsidRPr="004254A3">
        <w:rPr>
          <w:rFonts w:ascii="Calibri" w:hAnsi="Calibri" w:cstheme="minorHAnsi"/>
          <w:sz w:val="24"/>
          <w:szCs w:val="24"/>
        </w:rPr>
        <w:t xml:space="preserve"> 7 g en productos que cumplan con las siguientes condiciones: a) máximo de hasta 80% de las calorías aportadas por az</w:t>
      </w:r>
      <w:r w:rsidR="004254A3" w:rsidRPr="004254A3">
        <w:rPr>
          <w:rFonts w:ascii="Calibri" w:hAnsi="Calibri" w:cstheme="minorHAnsi"/>
          <w:sz w:val="24"/>
          <w:szCs w:val="24"/>
        </w:rPr>
        <w:t>ú</w:t>
      </w:r>
      <w:r w:rsidRPr="004254A3">
        <w:rPr>
          <w:rFonts w:ascii="Calibri" w:hAnsi="Calibri" w:cstheme="minorHAnsi"/>
          <w:sz w:val="24"/>
          <w:szCs w:val="24"/>
        </w:rPr>
        <w:t>cares; b) sin adición de edulcorantes no nutritivos</w:t>
      </w:r>
      <w:r w:rsidR="004254A3" w:rsidRPr="004254A3">
        <w:rPr>
          <w:rFonts w:ascii="Calibri" w:hAnsi="Calibri" w:cstheme="minorHAnsi"/>
          <w:sz w:val="24"/>
          <w:szCs w:val="24"/>
        </w:rPr>
        <w:t>.</w:t>
      </w:r>
      <w:r w:rsidRPr="004254A3">
        <w:rPr>
          <w:rFonts w:ascii="Calibri" w:hAnsi="Calibri" w:cstheme="minorHAnsi"/>
          <w:sz w:val="24"/>
          <w:szCs w:val="24"/>
        </w:rPr>
        <w:t xml:space="preserve"> </w:t>
      </w:r>
    </w:p>
    <w:p w14:paraId="1673AE9F" w14:textId="77777777" w:rsidR="00FD6578" w:rsidRPr="004254A3" w:rsidRDefault="00FD6578" w:rsidP="004254A3">
      <w:pPr>
        <w:spacing w:after="0"/>
        <w:jc w:val="right"/>
        <w:rPr>
          <w:rFonts w:ascii="Calibri" w:hAnsi="Calibri" w:cs="Arial"/>
          <w:sz w:val="24"/>
          <w:szCs w:val="24"/>
        </w:rPr>
      </w:pPr>
    </w:p>
    <w:p w14:paraId="6EFEBF1C" w14:textId="77777777" w:rsidR="00EC0F4D" w:rsidRPr="004254A3" w:rsidRDefault="00EC0F4D" w:rsidP="004254A3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4254A3">
        <w:rPr>
          <w:rFonts w:ascii="Calibri" w:hAnsi="Calibri" w:cs="Arial"/>
          <w:sz w:val="24"/>
          <w:szCs w:val="24"/>
        </w:rPr>
        <w:t xml:space="preserve">Comité </w:t>
      </w:r>
      <w:r w:rsidR="0048359C" w:rsidRPr="004254A3">
        <w:rPr>
          <w:rFonts w:ascii="Calibri" w:hAnsi="Calibri" w:cs="Arial"/>
          <w:sz w:val="24"/>
          <w:szCs w:val="24"/>
        </w:rPr>
        <w:t>de N</w:t>
      </w:r>
      <w:r w:rsidRPr="004254A3">
        <w:rPr>
          <w:rFonts w:ascii="Calibri" w:hAnsi="Calibri" w:cs="Arial"/>
          <w:sz w:val="24"/>
          <w:szCs w:val="24"/>
        </w:rPr>
        <w:t>utrición de la Sociedad Uruguaya de Pediatría</w:t>
      </w:r>
    </w:p>
    <w:p w14:paraId="2CBC4ABC" w14:textId="242E8FEC" w:rsidR="0048359C" w:rsidRPr="004254A3" w:rsidRDefault="00EC0F4D" w:rsidP="004254A3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4254A3">
        <w:rPr>
          <w:rFonts w:ascii="Calibri" w:hAnsi="Calibri" w:cs="Arial"/>
          <w:sz w:val="24"/>
          <w:szCs w:val="24"/>
        </w:rPr>
        <w:t xml:space="preserve">Comisión Directiva Sociedad Uruguaya de Pediatría </w:t>
      </w:r>
    </w:p>
    <w:p w14:paraId="4E8BCA9D" w14:textId="77777777" w:rsidR="0048359C" w:rsidRPr="004254A3" w:rsidRDefault="0048359C" w:rsidP="0048359C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63E8CB57" w14:textId="77777777" w:rsidR="0048359C" w:rsidRPr="004254A3" w:rsidRDefault="0048359C" w:rsidP="0048359C">
      <w:pPr>
        <w:jc w:val="right"/>
        <w:rPr>
          <w:rFonts w:ascii="Calibri" w:hAnsi="Calibri" w:cs="Arial"/>
          <w:sz w:val="24"/>
          <w:szCs w:val="24"/>
        </w:rPr>
      </w:pPr>
      <w:r w:rsidRPr="004254A3">
        <w:rPr>
          <w:rFonts w:ascii="Calibri" w:hAnsi="Calibri" w:cs="Arial"/>
          <w:sz w:val="24"/>
          <w:szCs w:val="24"/>
        </w:rPr>
        <w:t>Montevideo, febrero de 2021</w:t>
      </w:r>
    </w:p>
    <w:sectPr w:rsidR="0048359C" w:rsidRPr="004254A3" w:rsidSect="004254A3">
      <w:pgSz w:w="11906" w:h="16838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17"/>
    <w:rsid w:val="00006AAF"/>
    <w:rsid w:val="001C1C01"/>
    <w:rsid w:val="004254A3"/>
    <w:rsid w:val="0048359C"/>
    <w:rsid w:val="00575987"/>
    <w:rsid w:val="007B3924"/>
    <w:rsid w:val="008D7F3E"/>
    <w:rsid w:val="00981317"/>
    <w:rsid w:val="009B7975"/>
    <w:rsid w:val="00AC2D6E"/>
    <w:rsid w:val="00C8195C"/>
    <w:rsid w:val="00EC0F4D"/>
    <w:rsid w:val="00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5804"/>
  <w15:chartTrackingRefBased/>
  <w15:docId w15:val="{8773A37D-ECC5-4F1A-92EC-C2B7CE1D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6578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6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secretaria</cp:lastModifiedBy>
  <cp:revision>2</cp:revision>
  <cp:lastPrinted>2021-02-02T15:37:00Z</cp:lastPrinted>
  <dcterms:created xsi:type="dcterms:W3CDTF">2021-02-02T17:12:00Z</dcterms:created>
  <dcterms:modified xsi:type="dcterms:W3CDTF">2021-02-02T17:12:00Z</dcterms:modified>
</cp:coreProperties>
</file>